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center"/>
        <w:rPr>
          <w:rFonts w:hint="eastAsia" w:ascii="黑体" w:hAnsi="黑体" w:eastAsia="黑体" w:cs="黑体"/>
          <w:b/>
          <w:bCs/>
          <w:sz w:val="28"/>
          <w:szCs w:val="28"/>
          <w:lang w:val="en-US" w:eastAsia="zh-CN"/>
        </w:rPr>
      </w:pPr>
      <w:r>
        <w:rPr>
          <w:rFonts w:hint="eastAsia" w:ascii="黑体" w:hAnsi="黑体" w:eastAsia="黑体" w:cs="黑体"/>
          <w:b/>
          <w:bCs/>
          <w:sz w:val="32"/>
          <w:szCs w:val="32"/>
          <w:lang w:eastAsia="zh-CN"/>
        </w:rPr>
        <w:t>《</w:t>
      </w:r>
      <w:r>
        <w:rPr>
          <w:rFonts w:hint="eastAsia" w:ascii="黑体" w:hAnsi="黑体" w:eastAsia="黑体" w:cs="黑体"/>
          <w:b/>
          <w:bCs/>
          <w:sz w:val="32"/>
          <w:szCs w:val="32"/>
        </w:rPr>
        <w:t>武汉生物工程学院关于2020年普通专升本补录工作的通知</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相关附件</w:t>
      </w:r>
    </w:p>
    <w:p>
      <w:pPr>
        <w:pStyle w:val="5"/>
        <w:spacing w:before="0" w:beforeAutospacing="0" w:after="0" w:afterAutospacing="0" w:line="600" w:lineRule="exact"/>
        <w:ind w:firstLine="600" w:firstLineChars="200"/>
        <w:jc w:val="center"/>
        <w:rPr>
          <w:rFonts w:ascii="仿宋_GB2312" w:hAnsi="Arial" w:eastAsia="仿宋_GB2312" w:cs="Arial"/>
          <w:sz w:val="30"/>
          <w:szCs w:val="30"/>
        </w:rPr>
      </w:pPr>
      <w:r>
        <w:rPr>
          <w:rFonts w:hint="eastAsia" w:ascii="Arial" w:hAnsi="Arial" w:cs="Arial"/>
          <w:bCs/>
          <w:sz w:val="30"/>
          <w:szCs w:val="30"/>
        </w:rPr>
        <w:t xml:space="preserve"> </w:t>
      </w:r>
    </w:p>
    <w:p>
      <w:pPr>
        <w:widowControl/>
        <w:jc w:val="left"/>
        <w:rPr>
          <w:rFonts w:ascii="仿宋_GB2312" w:hAnsi="黑体" w:eastAsia="仿宋_GB2312" w:cs="Times New Roman"/>
          <w:b/>
          <w:sz w:val="36"/>
          <w:szCs w:val="36"/>
        </w:rPr>
      </w:pPr>
      <w:r>
        <w:rPr>
          <w:rFonts w:hint="eastAsia" w:ascii="仿宋_GB2312" w:hAnsi="黑体" w:eastAsia="仿宋_GB2312" w:cs="Times New Roman"/>
          <w:b/>
          <w:sz w:val="36"/>
          <w:szCs w:val="36"/>
        </w:rPr>
        <w:t>附件1：</w:t>
      </w:r>
    </w:p>
    <w:p>
      <w:pPr>
        <w:tabs>
          <w:tab w:val="left" w:pos="1470"/>
        </w:tabs>
        <w:adjustRightInd w:val="0"/>
        <w:snapToGrid w:val="0"/>
        <w:spacing w:line="560" w:lineRule="exact"/>
        <w:jc w:val="center"/>
        <w:rPr>
          <w:rFonts w:ascii="仿宋_GB2312" w:hAnsi="黑体" w:eastAsia="仿宋_GB2312" w:cs="Times New Roman"/>
          <w:b/>
          <w:sz w:val="36"/>
          <w:szCs w:val="36"/>
        </w:rPr>
      </w:pPr>
      <w:r>
        <w:rPr>
          <w:rFonts w:hint="eastAsia" w:ascii="仿宋_GB2312" w:hAnsi="黑体" w:eastAsia="仿宋_GB2312" w:cs="Times New Roman"/>
          <w:b/>
          <w:sz w:val="36"/>
          <w:szCs w:val="36"/>
        </w:rPr>
        <w:t>补录报名流程</w:t>
      </w:r>
    </w:p>
    <w:p>
      <w:pPr>
        <w:tabs>
          <w:tab w:val="left" w:pos="1470"/>
        </w:tabs>
        <w:adjustRightInd w:val="0"/>
        <w:snapToGrid w:val="0"/>
        <w:spacing w:line="560" w:lineRule="exact"/>
        <w:ind w:firstLine="675"/>
        <w:jc w:val="center"/>
        <w:rPr>
          <w:rFonts w:ascii="仿宋_GB2312" w:hAnsi="黑体" w:eastAsia="仿宋_GB2312" w:cs="Times New Roman"/>
          <w:sz w:val="32"/>
          <w:szCs w:val="32"/>
        </w:rPr>
      </w:pP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1.符合补录报名条件的考生使用在全省网络统一报名时注册的原账号密码登录补录报名平台，如遗忘密码可使用平台首页“找回密码”功能使用已注册手机号重置密码；如原注册手机号因考生个人原因无法用于登录，将失去补录报名资格，责任由考生自负。</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2.点击页面左侧“补录报名”模块报名。考生选择报考的高校和专业志愿，每名考生限报一所高校的一个补录招生专业。左侧“报名统计”模块提供补录计划和补录报考人数情况供考生参考。“在线报名”模块内经高校审核确认的考生其他信息为不可修改状态，考生无需填写也不得更改。</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3.考生检查填报高校、专业无误后，点击“保存”按钮，保存考生当前报考志愿信息。只有点击了“保存”按钮，填报的志愿信息才会储存到报名系统中；不点击的话志愿信息无法保存，等于没有填报（或没有修改）本次志愿。补录报名截止时间前，考生可多次修改志愿，每次修改后都要点击“保存”按钮，以最后一次修改并保存的志愿为准。</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4.保存后，考生可点击页面上方“预览报名表”检查当前填报的志愿信息是否准确，全面检查后，如果没有问题，考生点击页面右上角“安全退出”按钮，退出补录报名系统。如果发现有问题，请在补录报名截止时间前及时登录系统更正志愿信息。</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5.8月21日至8月22日，考生可登陆报名平台下载打印《2020年湖北省高校普通专升本补录报名申请表》。《申请表》手写签字后根据报考高校要求连同有关材料一并提交。</w:t>
      </w:r>
    </w:p>
    <w:p/>
    <w:p>
      <w:pPr>
        <w:widowControl/>
        <w:jc w:val="left"/>
        <w:rPr>
          <w:rFonts w:ascii="黑体" w:hAnsi="黑体" w:eastAsia="黑体" w:cs="黑体"/>
          <w:sz w:val="28"/>
          <w:szCs w:val="28"/>
        </w:rPr>
      </w:pPr>
      <w:r>
        <w:rPr>
          <w:rFonts w:ascii="黑体" w:hAnsi="黑体" w:eastAsia="黑体" w:cs="黑体"/>
          <w:sz w:val="28"/>
          <w:szCs w:val="28"/>
        </w:rPr>
        <w:br w:type="page"/>
      </w:r>
    </w:p>
    <w:p>
      <w:pPr>
        <w:rPr>
          <w:rFonts w:ascii="仿宋_GB2312" w:hAnsi="黑体" w:eastAsia="仿宋_GB2312" w:cs="Times New Roman"/>
          <w:b/>
          <w:sz w:val="36"/>
          <w:szCs w:val="36"/>
        </w:rPr>
      </w:pPr>
      <w:r>
        <w:rPr>
          <w:rFonts w:hint="eastAsia" w:ascii="仿宋_GB2312" w:hAnsi="黑体" w:eastAsia="仿宋_GB2312" w:cs="Times New Roman"/>
          <w:b/>
          <w:sz w:val="36"/>
          <w:szCs w:val="36"/>
        </w:rPr>
        <w:t>附件2：</w:t>
      </w:r>
    </w:p>
    <w:p>
      <w:pPr>
        <w:spacing w:line="400" w:lineRule="exact"/>
        <w:jc w:val="center"/>
        <w:rPr>
          <w:rFonts w:ascii="仿宋_GB2312" w:hAnsi="黑体" w:eastAsia="仿宋_GB2312" w:cs="Times New Roman"/>
          <w:b/>
          <w:sz w:val="36"/>
          <w:szCs w:val="36"/>
        </w:rPr>
      </w:pPr>
      <w:r>
        <w:rPr>
          <w:rFonts w:hint="eastAsia" w:ascii="仿宋_GB2312" w:hAnsi="黑体" w:eastAsia="仿宋_GB2312" w:cs="Times New Roman"/>
          <w:b/>
          <w:sz w:val="36"/>
          <w:szCs w:val="36"/>
        </w:rPr>
        <w:t>武汉生物工程学院</w:t>
      </w:r>
      <w:r>
        <w:rPr>
          <w:rFonts w:ascii="仿宋_GB2312" w:hAnsi="黑体" w:eastAsia="仿宋_GB2312" w:cs="Times New Roman"/>
          <w:b/>
          <w:sz w:val="36"/>
          <w:szCs w:val="36"/>
        </w:rPr>
        <w:t>2020</w:t>
      </w:r>
      <w:r>
        <w:rPr>
          <w:rFonts w:hint="eastAsia" w:ascii="仿宋_GB2312" w:hAnsi="黑体" w:eastAsia="仿宋_GB2312" w:cs="Times New Roman"/>
          <w:b/>
          <w:sz w:val="36"/>
          <w:szCs w:val="36"/>
        </w:rPr>
        <w:t>年普通专升本补录招生专业</w:t>
      </w:r>
    </w:p>
    <w:p>
      <w:pPr>
        <w:spacing w:line="400" w:lineRule="exact"/>
        <w:jc w:val="center"/>
        <w:rPr>
          <w:rFonts w:ascii="仿宋_GB2312" w:hAnsi="黑体" w:eastAsia="仿宋_GB2312" w:cs="Times New Roman"/>
          <w:b/>
          <w:sz w:val="36"/>
          <w:szCs w:val="36"/>
        </w:rPr>
      </w:pPr>
      <w:r>
        <w:rPr>
          <w:rFonts w:hint="eastAsia" w:ascii="仿宋_GB2312" w:hAnsi="黑体" w:eastAsia="仿宋_GB2312" w:cs="Times New Roman"/>
          <w:b/>
          <w:sz w:val="36"/>
          <w:szCs w:val="36"/>
        </w:rPr>
        <w:t>对高职（专科）专业的报考范围要求</w:t>
      </w:r>
    </w:p>
    <w:tbl>
      <w:tblPr>
        <w:tblStyle w:val="6"/>
        <w:tblW w:w="8919" w:type="dxa"/>
        <w:tblInd w:w="2" w:type="dxa"/>
        <w:tblLayout w:type="fixed"/>
        <w:tblCellMar>
          <w:top w:w="0" w:type="dxa"/>
          <w:left w:w="0" w:type="dxa"/>
          <w:bottom w:w="0" w:type="dxa"/>
          <w:right w:w="0" w:type="dxa"/>
        </w:tblCellMar>
      </w:tblPr>
      <w:tblGrid>
        <w:gridCol w:w="2413"/>
        <w:gridCol w:w="6506"/>
      </w:tblGrid>
      <w:tr>
        <w:tblPrEx>
          <w:tblCellMar>
            <w:top w:w="0" w:type="dxa"/>
            <w:left w:w="0" w:type="dxa"/>
            <w:bottom w:w="0" w:type="dxa"/>
            <w:right w:w="0" w:type="dxa"/>
          </w:tblCellMar>
        </w:tblPrEx>
        <w:trPr>
          <w:trHeight w:val="567"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hAnsi="宋体" w:cs="Times New Roman"/>
                <w:b/>
                <w:bCs/>
                <w:color w:val="000000"/>
                <w:sz w:val="24"/>
                <w:szCs w:val="24"/>
              </w:rPr>
            </w:pPr>
            <w:r>
              <w:rPr>
                <w:rFonts w:hint="eastAsia" w:hAnsi="宋体"/>
                <w:b/>
                <w:bCs/>
                <w:color w:val="000000"/>
                <w:sz w:val="24"/>
                <w:szCs w:val="24"/>
              </w:rPr>
              <w:t>本科招生专业</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hAnsi="宋体" w:cs="Times New Roman"/>
                <w:b/>
                <w:bCs/>
                <w:color w:val="000000"/>
                <w:sz w:val="24"/>
                <w:szCs w:val="24"/>
              </w:rPr>
            </w:pPr>
            <w:r>
              <w:rPr>
                <w:rFonts w:hint="eastAsia" w:hAnsi="宋体"/>
                <w:b/>
                <w:bCs/>
                <w:color w:val="000000"/>
                <w:sz w:val="24"/>
                <w:szCs w:val="24"/>
              </w:rPr>
              <w:t>对应高职高专专业</w:t>
            </w:r>
          </w:p>
        </w:tc>
      </w:tr>
      <w:tr>
        <w:tblPrEx>
          <w:tblCellMar>
            <w:top w:w="0" w:type="dxa"/>
            <w:left w:w="0" w:type="dxa"/>
            <w:bottom w:w="0" w:type="dxa"/>
            <w:right w:w="0" w:type="dxa"/>
          </w:tblCellMar>
        </w:tblPrEx>
        <w:trPr>
          <w:trHeight w:val="1866"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生物工程</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药品生物技术、农业生物技术、食品生物技术、食品营养与检测、药品生产技术、生物制药技术、药品经营与管理、环境工程技术、</w:t>
            </w:r>
            <w:r>
              <w:t>药学、中药学、护理、医学生物技术、医学检验技术、药品质量与安全、临床医学、畜牧兽医、动物医学、园林技术、现代农业技术</w:t>
            </w:r>
            <w:r>
              <w:rPr>
                <w:rFonts w:hint="eastAsia" w:hAnsi="宋体"/>
              </w:rPr>
              <w:t>及其相关专业。</w:t>
            </w:r>
          </w:p>
        </w:tc>
      </w:tr>
      <w:tr>
        <w:tblPrEx>
          <w:tblCellMar>
            <w:top w:w="0" w:type="dxa"/>
            <w:left w:w="0" w:type="dxa"/>
            <w:bottom w:w="0" w:type="dxa"/>
            <w:right w:w="0" w:type="dxa"/>
          </w:tblCellMar>
        </w:tblPrEx>
        <w:trPr>
          <w:trHeight w:val="715"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制药工程</w:t>
            </w:r>
          </w:p>
        </w:tc>
        <w:tc>
          <w:tcPr>
            <w:tcW w:w="6506" w:type="dxa"/>
            <w:vMerge w:val="restart"/>
            <w:tcBorders>
              <w:top w:val="single" w:color="000000" w:sz="4" w:space="0"/>
              <w:left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ascii="宋体" w:hAnsi="宋体"/>
                <w:kern w:val="0"/>
                <w:sz w:val="20"/>
                <w:szCs w:val="20"/>
              </w:rPr>
              <w:t>农业生物技术</w:t>
            </w:r>
            <w:r>
              <w:t>、食品营养与检测、药品生物技术、药品生产技术、药品经营与管理、药学、中药学、化工生物技术、中药制药技术</w:t>
            </w:r>
            <w:r>
              <w:rPr>
                <w:rFonts w:hint="eastAsia" w:hAnsi="宋体"/>
              </w:rPr>
              <w:t>及其相关专业。</w:t>
            </w:r>
          </w:p>
        </w:tc>
      </w:tr>
      <w:tr>
        <w:tblPrEx>
          <w:tblCellMar>
            <w:top w:w="0" w:type="dxa"/>
            <w:left w:w="0" w:type="dxa"/>
            <w:bottom w:w="0" w:type="dxa"/>
            <w:right w:w="0" w:type="dxa"/>
          </w:tblCellMar>
        </w:tblPrEx>
        <w:trPr>
          <w:trHeight w:val="711"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中药学</w:t>
            </w:r>
          </w:p>
        </w:tc>
        <w:tc>
          <w:tcPr>
            <w:tcW w:w="6506" w:type="dxa"/>
            <w:vMerge w:val="continue"/>
            <w:tcBorders>
              <w:left w:val="single" w:color="000000" w:sz="4" w:space="0"/>
              <w:bottom w:val="single" w:color="000000" w:sz="4" w:space="0"/>
              <w:right w:val="single" w:color="000000" w:sz="4" w:space="0"/>
            </w:tcBorders>
            <w:tcMar>
              <w:left w:w="0" w:type="dxa"/>
              <w:right w:w="0" w:type="dxa"/>
            </w:tcMar>
          </w:tcPr>
          <w:p>
            <w:pPr>
              <w:spacing w:line="400" w:lineRule="exact"/>
              <w:jc w:val="left"/>
              <w:rPr>
                <w:rFonts w:hAnsi="宋体" w:cs="Times New Roman"/>
              </w:rPr>
            </w:pPr>
          </w:p>
        </w:tc>
      </w:tr>
      <w:tr>
        <w:tblPrEx>
          <w:tblCellMar>
            <w:top w:w="0" w:type="dxa"/>
            <w:left w:w="0" w:type="dxa"/>
            <w:bottom w:w="0" w:type="dxa"/>
            <w:right w:w="0" w:type="dxa"/>
          </w:tblCellMar>
        </w:tblPrEx>
        <w:trPr>
          <w:trHeight w:val="567"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财务管理</w:t>
            </w:r>
          </w:p>
        </w:tc>
        <w:tc>
          <w:tcPr>
            <w:tcW w:w="6506" w:type="dxa"/>
            <w:vMerge w:val="restart"/>
            <w:tcBorders>
              <w:top w:val="single" w:color="000000" w:sz="4" w:space="0"/>
              <w:left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会计、财务管理、市场营销、旅游管理、电子商务、艺术设计、</w:t>
            </w:r>
            <w:r>
              <w:t>工程造价、动漫制作技术、房地产经营与管理、工商企业管理、物流管理、舞台艺术设计与制作、导游、广告设计与制作、数字媒体艺术设计、视觉传播设计与制作、新闻采编与制作、工商企业管理、摄影摄像技术、电子商务技术、审计、会计信息管理、建筑经济管理、连锁经营管理、文秘、互联网金融</w:t>
            </w:r>
            <w:r>
              <w:rPr>
                <w:rFonts w:hint="eastAsia" w:hAnsi="宋体"/>
              </w:rPr>
              <w:t>及其相关专业</w:t>
            </w:r>
          </w:p>
        </w:tc>
      </w:tr>
      <w:tr>
        <w:tblPrEx>
          <w:tblCellMar>
            <w:top w:w="0" w:type="dxa"/>
            <w:left w:w="0" w:type="dxa"/>
            <w:bottom w:w="0" w:type="dxa"/>
            <w:right w:w="0" w:type="dxa"/>
          </w:tblCellMar>
        </w:tblPrEx>
        <w:trPr>
          <w:trHeight w:val="567"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市场营销</w:t>
            </w:r>
          </w:p>
        </w:tc>
        <w:tc>
          <w:tcPr>
            <w:tcW w:w="6506" w:type="dxa"/>
            <w:vMerge w:val="continue"/>
            <w:tcBorders>
              <w:left w:val="single" w:color="000000" w:sz="4" w:space="0"/>
              <w:right w:val="single" w:color="000000" w:sz="4" w:space="0"/>
            </w:tcBorders>
            <w:tcMar>
              <w:left w:w="0" w:type="dxa"/>
              <w:right w:w="0" w:type="dxa"/>
            </w:tcMar>
          </w:tcPr>
          <w:p>
            <w:pPr>
              <w:spacing w:line="400" w:lineRule="exact"/>
              <w:jc w:val="left"/>
              <w:rPr>
                <w:rFonts w:hAnsi="宋体" w:cs="Times New Roman"/>
              </w:rPr>
            </w:pPr>
          </w:p>
        </w:tc>
      </w:tr>
      <w:tr>
        <w:tblPrEx>
          <w:tblCellMar>
            <w:top w:w="0" w:type="dxa"/>
            <w:left w:w="0" w:type="dxa"/>
            <w:bottom w:w="0" w:type="dxa"/>
            <w:right w:w="0" w:type="dxa"/>
          </w:tblCellMar>
        </w:tblPrEx>
        <w:trPr>
          <w:trHeight w:val="1276"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文化产业管理</w:t>
            </w:r>
          </w:p>
        </w:tc>
        <w:tc>
          <w:tcPr>
            <w:tcW w:w="6506" w:type="dxa"/>
            <w:vMerge w:val="continue"/>
            <w:tcBorders>
              <w:left w:val="single" w:color="000000" w:sz="4" w:space="0"/>
              <w:bottom w:val="single" w:color="000000" w:sz="4" w:space="0"/>
              <w:right w:val="single" w:color="000000" w:sz="4" w:space="0"/>
            </w:tcBorders>
            <w:tcMar>
              <w:left w:w="0" w:type="dxa"/>
              <w:right w:w="0" w:type="dxa"/>
            </w:tcMar>
          </w:tcPr>
          <w:p>
            <w:pPr>
              <w:spacing w:line="400" w:lineRule="exact"/>
              <w:jc w:val="left"/>
              <w:rPr>
                <w:rFonts w:hAnsi="宋体" w:cs="Times New Roman"/>
              </w:rPr>
            </w:pPr>
          </w:p>
        </w:tc>
      </w:tr>
      <w:tr>
        <w:tblPrEx>
          <w:tblCellMar>
            <w:top w:w="0" w:type="dxa"/>
            <w:left w:w="0" w:type="dxa"/>
            <w:bottom w:w="0" w:type="dxa"/>
            <w:right w:w="0" w:type="dxa"/>
          </w:tblCellMar>
        </w:tblPrEx>
        <w:trPr>
          <w:trHeight w:val="1705"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机械设计制造及其自动化</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t>机电设备维修与管理、机电一体化技术、机械设计与制造、机械制造与自动化、机械装备制造技术、数控技术、数控设备应用与维护、自动化生产设备应用、工业机器人技术、汽车检测与维修技术、模具设计与制造</w:t>
            </w:r>
            <w:r>
              <w:rPr>
                <w:rFonts w:hint="eastAsia" w:hAnsi="宋体"/>
              </w:rPr>
              <w:t>及其相关专业</w:t>
            </w:r>
          </w:p>
        </w:tc>
      </w:tr>
      <w:tr>
        <w:tblPrEx>
          <w:tblCellMar>
            <w:top w:w="0" w:type="dxa"/>
            <w:left w:w="0" w:type="dxa"/>
            <w:bottom w:w="0" w:type="dxa"/>
            <w:right w:w="0" w:type="dxa"/>
          </w:tblCellMar>
        </w:tblPrEx>
        <w:trPr>
          <w:trHeight w:val="1120"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土木工程</w:t>
            </w:r>
          </w:p>
        </w:tc>
        <w:tc>
          <w:tcPr>
            <w:tcW w:w="6506" w:type="dxa"/>
            <w:vMerge w:val="restart"/>
            <w:tcBorders>
              <w:top w:val="single" w:color="000000" w:sz="4" w:space="0"/>
              <w:left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建筑工程技术、工程造价、园林工程技术、</w:t>
            </w:r>
            <w:r>
              <w:t>建筑设计、建筑室内设计、建设工程监理、建筑装饰工程技术、市政工程技术、道路桥梁工程技术、市政工程技术、风景园林设计、工程地质勘查、工程测量技术、水文与工程地质、土木工程检测技术、古建筑工程技术、建设工程管理、水利水电建筑工程</w:t>
            </w:r>
            <w:r>
              <w:rPr>
                <w:rFonts w:hint="eastAsia" w:hAnsi="宋体"/>
              </w:rPr>
              <w:t>及其相关专业</w:t>
            </w:r>
          </w:p>
        </w:tc>
      </w:tr>
      <w:tr>
        <w:tblPrEx>
          <w:tblCellMar>
            <w:top w:w="0" w:type="dxa"/>
            <w:left w:w="0" w:type="dxa"/>
            <w:bottom w:w="0" w:type="dxa"/>
            <w:right w:w="0" w:type="dxa"/>
          </w:tblCellMar>
        </w:tblPrEx>
        <w:trPr>
          <w:trHeight w:val="997"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工程造价</w:t>
            </w:r>
          </w:p>
        </w:tc>
        <w:tc>
          <w:tcPr>
            <w:tcW w:w="6506" w:type="dxa"/>
            <w:vMerge w:val="continue"/>
            <w:tcBorders>
              <w:left w:val="single" w:color="000000" w:sz="4" w:space="0"/>
              <w:bottom w:val="single" w:color="000000" w:sz="4" w:space="0"/>
              <w:right w:val="single" w:color="000000" w:sz="4" w:space="0"/>
            </w:tcBorders>
            <w:tcMar>
              <w:left w:w="0" w:type="dxa"/>
              <w:right w:w="0" w:type="dxa"/>
            </w:tcMar>
          </w:tcPr>
          <w:p>
            <w:pPr>
              <w:spacing w:line="400" w:lineRule="exact"/>
              <w:jc w:val="left"/>
              <w:rPr>
                <w:rFonts w:hAnsi="宋体" w:cs="Times New Roman"/>
              </w:rPr>
            </w:pPr>
          </w:p>
        </w:tc>
      </w:tr>
      <w:tr>
        <w:tblPrEx>
          <w:tblCellMar>
            <w:top w:w="0" w:type="dxa"/>
            <w:left w:w="0" w:type="dxa"/>
            <w:bottom w:w="0" w:type="dxa"/>
            <w:right w:w="0" w:type="dxa"/>
          </w:tblCellMar>
        </w:tblPrEx>
        <w:trPr>
          <w:trHeight w:val="1556"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食品科学与工程</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食品营养与检测、</w:t>
            </w:r>
            <w:r>
              <w:rPr>
                <w:rFonts w:hint="eastAsia" w:ascii="宋体" w:hAnsi="宋体"/>
                <w:kern w:val="0"/>
                <w:sz w:val="20"/>
                <w:szCs w:val="20"/>
              </w:rPr>
              <w:t>农业生物技术</w:t>
            </w:r>
            <w:r>
              <w:rPr>
                <w:rFonts w:hint="eastAsia" w:hAnsi="宋体"/>
              </w:rPr>
              <w:t>、农产品加工、食品生物技术、食品药品监督管理、</w:t>
            </w:r>
            <w:r>
              <w:t>食品加工技术，食品营养与卫生，食品质量与安全，绿色食品生产与检验</w:t>
            </w:r>
            <w:r>
              <w:rPr>
                <w:rFonts w:hint="eastAsia" w:hAnsi="宋体"/>
              </w:rPr>
              <w:t>及其相关专业</w:t>
            </w:r>
          </w:p>
        </w:tc>
      </w:tr>
      <w:tr>
        <w:tblPrEx>
          <w:tblCellMar>
            <w:top w:w="0" w:type="dxa"/>
            <w:left w:w="0" w:type="dxa"/>
            <w:bottom w:w="0" w:type="dxa"/>
            <w:right w:w="0" w:type="dxa"/>
          </w:tblCellMar>
        </w:tblPrEx>
        <w:trPr>
          <w:trHeight w:val="1421"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园林</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园林技术、园艺技术、园林工程技术、</w:t>
            </w:r>
            <w:r>
              <w:t>风景园林设计专业、林业技术、现代农业技术、茶艺与茶叶营销、环境艺术设计、工程造价、森林生态旅游、茶树栽培与茶叶加工</w:t>
            </w:r>
            <w:r>
              <w:rPr>
                <w:rFonts w:hint="eastAsia" w:hAnsi="宋体"/>
              </w:rPr>
              <w:t>及其相关专业</w:t>
            </w:r>
          </w:p>
        </w:tc>
      </w:tr>
      <w:tr>
        <w:tblPrEx>
          <w:tblCellMar>
            <w:top w:w="0" w:type="dxa"/>
            <w:left w:w="0" w:type="dxa"/>
            <w:bottom w:w="0" w:type="dxa"/>
            <w:right w:w="0" w:type="dxa"/>
          </w:tblCellMar>
        </w:tblPrEx>
        <w:trPr>
          <w:trHeight w:val="1056"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环境工程</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环境工程技术、</w:t>
            </w:r>
            <w:r>
              <w:t>化工生物技术、环境规划与管理、环境监测与控制技术、水环境监测与治理、应用化工技术</w:t>
            </w:r>
            <w:r>
              <w:rPr>
                <w:rFonts w:hint="eastAsia" w:hAnsi="宋体"/>
              </w:rPr>
              <w:t>及其相关专业</w:t>
            </w:r>
          </w:p>
        </w:tc>
      </w:tr>
      <w:tr>
        <w:tblPrEx>
          <w:tblCellMar>
            <w:top w:w="0" w:type="dxa"/>
            <w:left w:w="0" w:type="dxa"/>
            <w:bottom w:w="0" w:type="dxa"/>
            <w:right w:w="0" w:type="dxa"/>
          </w:tblCellMar>
        </w:tblPrEx>
        <w:trPr>
          <w:trHeight w:val="2278"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计算机科学与技术</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软件技术、计算机网络技术、计算机应用技术、</w:t>
            </w:r>
            <w:r>
              <w:t>电子信息工程技术、应用电子技术、移动互联应用技术、物联网应用技术、计算机应用技术、动漫制作技术、机械制造与自动化、电气自动化技术、计算机网络技术、移动应用开发、云计算技术与应用、商务数据分析与应用、广告设计与制作、大数据技术与应用、电子信息工程技术、数字媒体艺术设计</w:t>
            </w:r>
            <w:r>
              <w:rPr>
                <w:rFonts w:hint="eastAsia" w:hAnsi="宋体"/>
              </w:rPr>
              <w:t>及其相关专业</w:t>
            </w:r>
          </w:p>
        </w:tc>
      </w:tr>
      <w:tr>
        <w:tblPrEx>
          <w:tblCellMar>
            <w:top w:w="0" w:type="dxa"/>
            <w:left w:w="0" w:type="dxa"/>
            <w:bottom w:w="0" w:type="dxa"/>
            <w:right w:w="0" w:type="dxa"/>
          </w:tblCellMar>
        </w:tblPrEx>
        <w:trPr>
          <w:trHeight w:val="2125"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信息管理与信息系统</w:t>
            </w:r>
          </w:p>
        </w:tc>
        <w:tc>
          <w:tcPr>
            <w:tcW w:w="6506"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rPr>
                <w:rFonts w:hint="eastAsia" w:hAnsi="宋体"/>
              </w:rPr>
              <w:t>电子商务、计算机网络技术、计算机应用技术、软件技术</w:t>
            </w:r>
            <w:r>
              <w:t>工商企业管理、市场营销、电子商务、物流管理、新闻采编与制作、计算机信息管理、数字媒体艺术设计、计算机网络技术、移动应用开发、云计算技术与应用、商务数据分析与应用、广告设计与制作、大数据技术与应用、电子信息工程技术、数字媒体艺术设计</w:t>
            </w:r>
            <w:r>
              <w:rPr>
                <w:rFonts w:hint="eastAsia" w:hAnsi="宋体"/>
              </w:rPr>
              <w:t>及其相关专业</w:t>
            </w:r>
          </w:p>
        </w:tc>
      </w:tr>
      <w:tr>
        <w:tblPrEx>
          <w:tblCellMar>
            <w:top w:w="0" w:type="dxa"/>
            <w:left w:w="0" w:type="dxa"/>
            <w:bottom w:w="0" w:type="dxa"/>
            <w:right w:w="0" w:type="dxa"/>
          </w:tblCellMar>
        </w:tblPrEx>
        <w:trPr>
          <w:trHeight w:val="924"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环境设计</w:t>
            </w:r>
          </w:p>
        </w:tc>
        <w:tc>
          <w:tcPr>
            <w:tcW w:w="6506" w:type="dxa"/>
            <w:tcBorders>
              <w:left w:val="single" w:color="000000" w:sz="4" w:space="0"/>
              <w:bottom w:val="single" w:color="000000" w:sz="4" w:space="0"/>
              <w:right w:val="single" w:color="000000" w:sz="4" w:space="0"/>
            </w:tcBorders>
            <w:tcMar>
              <w:left w:w="0" w:type="dxa"/>
              <w:right w:w="0" w:type="dxa"/>
            </w:tcMar>
            <w:vAlign w:val="center"/>
          </w:tcPr>
          <w:p>
            <w:pPr>
              <w:spacing w:line="400" w:lineRule="exact"/>
              <w:jc w:val="left"/>
              <w:rPr>
                <w:rFonts w:hAnsi="宋体" w:cs="Times New Roman"/>
              </w:rPr>
            </w:pPr>
            <w:r>
              <w:t>艺术设计、环境艺术设计、建筑室内设计、室内艺术设计、数字媒体艺术设计、广告设计与制作、园林园艺、美术教育</w:t>
            </w:r>
            <w:r>
              <w:rPr>
                <w:rFonts w:hint="eastAsia" w:hAnsi="宋体"/>
              </w:rPr>
              <w:t>及其相关专业</w:t>
            </w:r>
          </w:p>
        </w:tc>
      </w:tr>
      <w:tr>
        <w:tblPrEx>
          <w:tblCellMar>
            <w:top w:w="0" w:type="dxa"/>
            <w:left w:w="0" w:type="dxa"/>
            <w:bottom w:w="0" w:type="dxa"/>
            <w:right w:w="0" w:type="dxa"/>
          </w:tblCellMar>
        </w:tblPrEx>
        <w:trPr>
          <w:trHeight w:val="1615"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社会体育指导与管理</w:t>
            </w:r>
          </w:p>
        </w:tc>
        <w:tc>
          <w:tcPr>
            <w:tcW w:w="6506" w:type="dxa"/>
            <w:tcBorders>
              <w:left w:val="single" w:color="000000" w:sz="4" w:space="0"/>
              <w:bottom w:val="single" w:color="auto" w:sz="4" w:space="0"/>
              <w:right w:val="single" w:color="000000" w:sz="4" w:space="0"/>
            </w:tcBorders>
            <w:tcMar>
              <w:left w:w="0" w:type="dxa"/>
              <w:right w:w="0" w:type="dxa"/>
            </w:tcMar>
            <w:vAlign w:val="center"/>
          </w:tcPr>
          <w:p>
            <w:pPr>
              <w:spacing w:line="400" w:lineRule="exact"/>
              <w:jc w:val="left"/>
              <w:rPr>
                <w:rFonts w:hAnsi="宋体"/>
              </w:rPr>
            </w:pPr>
            <w:r>
              <w:t>社会体育、</w:t>
            </w:r>
            <w:r>
              <w:rPr>
                <w:rFonts w:hint="eastAsia" w:hAnsi="宋体"/>
              </w:rPr>
              <w:t>民族传统体育、</w:t>
            </w:r>
            <w:r>
              <w:t>体育教育、体育保健、康复治理技术、老年保健与管理、健康管理、社会工作、青少年工作与管理、运动训练、体育运营与管理、健身指导与管理、舞蹈表演、舞蹈编导、幼儿发展与健康管理</w:t>
            </w:r>
            <w:r>
              <w:rPr>
                <w:rFonts w:hint="eastAsia" w:hAnsi="宋体"/>
              </w:rPr>
              <w:t>及其相关专业</w:t>
            </w:r>
          </w:p>
          <w:p>
            <w:pPr>
              <w:spacing w:line="400" w:lineRule="exact"/>
              <w:jc w:val="left"/>
              <w:rPr>
                <w:rFonts w:hAnsi="宋体" w:cs="Times New Roman"/>
              </w:rPr>
            </w:pPr>
          </w:p>
        </w:tc>
      </w:tr>
      <w:tr>
        <w:tblPrEx>
          <w:tblCellMar>
            <w:top w:w="0" w:type="dxa"/>
            <w:left w:w="0" w:type="dxa"/>
            <w:bottom w:w="0" w:type="dxa"/>
            <w:right w:w="0" w:type="dxa"/>
          </w:tblCellMar>
        </w:tblPrEx>
        <w:trPr>
          <w:trHeight w:val="1472" w:hRule="exact"/>
        </w:trPr>
        <w:tc>
          <w:tcPr>
            <w:tcW w:w="2413"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Times New Roman"/>
                <w:color w:val="000000"/>
              </w:rPr>
            </w:pPr>
            <w:r>
              <w:rPr>
                <w:rFonts w:hint="eastAsia" w:hAnsi="宋体"/>
                <w:color w:val="000000"/>
              </w:rPr>
              <w:t>英语</w:t>
            </w:r>
          </w:p>
        </w:tc>
        <w:tc>
          <w:tcPr>
            <w:tcW w:w="6506"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pacing w:line="400" w:lineRule="exact"/>
              <w:jc w:val="left"/>
              <w:rPr>
                <w:rFonts w:hAnsi="宋体" w:cs="Times New Roman"/>
              </w:rPr>
            </w:pPr>
            <w:r>
              <w:t>英语教育、应用英语、商务英语、旅游英语、文秘、学前教育、小学教育、幼儿发展与健康管理、旅游管理、国际贸易实务、国际邮轮乘务管理、国际商务、国际经济与贸易、国际金融、报关与国际货运</w:t>
            </w:r>
            <w:r>
              <w:rPr>
                <w:rFonts w:hint="eastAsia" w:hAnsi="宋体"/>
              </w:rPr>
              <w:t>及其相关专业</w:t>
            </w:r>
          </w:p>
        </w:tc>
      </w:tr>
    </w:tbl>
    <w:p>
      <w:pPr>
        <w:widowControl/>
        <w:jc w:val="left"/>
        <w:rPr>
          <w:rFonts w:ascii="仿宋_GB2312" w:hAnsi="黑体" w:eastAsia="仿宋_GB2312" w:cs="仿宋_GB2312"/>
          <w:sz w:val="32"/>
          <w:szCs w:val="32"/>
        </w:rPr>
        <w:sectPr>
          <w:headerReference r:id="rId3" w:type="default"/>
          <w:footerReference r:id="rId5" w:type="default"/>
          <w:headerReference r:id="rId4" w:type="even"/>
          <w:footerReference r:id="rId6" w:type="even"/>
          <w:pgSz w:w="11907" w:h="16839"/>
          <w:pgMar w:top="2098" w:right="1474" w:bottom="1984" w:left="1587" w:header="851" w:footer="1400" w:gutter="0"/>
          <w:cols w:space="425" w:num="1"/>
          <w:docGrid w:type="lines" w:linePitch="579" w:charSpace="5643"/>
        </w:sectPr>
      </w:pPr>
    </w:p>
    <w:p>
      <w:pPr>
        <w:pStyle w:val="11"/>
        <w:widowControl/>
        <w:ind w:firstLine="0" w:firstLineChars="0"/>
        <w:rPr>
          <w:rFonts w:ascii="仿宋_GB2312" w:hAnsi="宋体" w:eastAsia="仿宋_GB2312" w:cs="仿宋_GB2312"/>
          <w:b/>
          <w:kern w:val="0"/>
          <w:sz w:val="36"/>
          <w:szCs w:val="36"/>
        </w:rPr>
      </w:pPr>
      <w:r>
        <w:rPr>
          <w:rFonts w:hint="eastAsia" w:ascii="仿宋_GB2312" w:hAnsi="宋体" w:eastAsia="仿宋_GB2312" w:cs="仿宋_GB2312"/>
          <w:b/>
          <w:kern w:val="0"/>
          <w:sz w:val="36"/>
          <w:szCs w:val="36"/>
        </w:rPr>
        <w:t>附件3：</w:t>
      </w:r>
    </w:p>
    <w:p>
      <w:pPr>
        <w:pStyle w:val="11"/>
        <w:widowControl/>
        <w:ind w:firstLine="0" w:firstLineChars="0"/>
        <w:jc w:val="center"/>
        <w:rPr>
          <w:rFonts w:ascii="仿宋_GB2312" w:hAnsi="宋体" w:eastAsia="仿宋_GB2312" w:cs="仿宋_GB2312"/>
          <w:b/>
          <w:kern w:val="0"/>
          <w:sz w:val="36"/>
          <w:szCs w:val="36"/>
        </w:rPr>
      </w:pPr>
      <w:r>
        <w:rPr>
          <w:rFonts w:hint="eastAsia" w:ascii="仿宋_GB2312" w:hAnsi="宋体" w:eastAsia="仿宋_GB2312" w:cs="仿宋_GB2312"/>
          <w:b/>
          <w:kern w:val="0"/>
          <w:sz w:val="36"/>
          <w:szCs w:val="36"/>
        </w:rPr>
        <w:t>普通考生资料上传示例</w:t>
      </w:r>
    </w:p>
    <w:p>
      <w:pPr>
        <w:pStyle w:val="11"/>
        <w:widowControl/>
        <w:ind w:firstLine="0" w:firstLineChars="0"/>
        <w:rPr>
          <w:rFonts w:ascii="仿宋_GB2312" w:hAnsi="宋体" w:eastAsia="仿宋_GB2312" w:cs="仿宋_GB2312"/>
          <w:b/>
          <w:kern w:val="0"/>
          <w:sz w:val="36"/>
          <w:szCs w:val="36"/>
        </w:rPr>
      </w:pPr>
      <w:bookmarkStart w:id="0" w:name="_GoBack"/>
      <w:bookmarkEnd w:id="0"/>
    </w:p>
    <w:p>
      <w:pPr>
        <w:pStyle w:val="11"/>
        <w:widowControl/>
        <w:ind w:firstLine="235" w:firstLineChars="112"/>
        <w:rPr>
          <w:rFonts w:ascii="仿宋_GB2312" w:eastAsia="仿宋_GB2312" w:cs="Times New Roman"/>
          <w:color w:val="000000"/>
          <w:sz w:val="32"/>
          <w:szCs w:val="32"/>
        </w:rPr>
      </w:pPr>
      <w:r>
        <w:pict>
          <v:group id="1026" o:spid="_x0000_s1030" o:spt="203" style="position:absolute;left:0pt;margin-left:-1.5pt;margin-top:90.6pt;height:511.5pt;width:417pt;z-index:1024;mso-width-relative:page;mso-height-relative:page;" coordorigin="1530,5124" coordsize="8340,10230">
            <o:lock v:ext="edit"/>
            <v:shape id="1028" o:spid="_x0000_s1031" o:spt="75" type="#_x0000_t75" style="position:absolute;left:1530;top:5124;height:10230;width:8340;" filled="f" o:preferrelative="t" stroked="f" coordsize="21600,21600">
              <v:path/>
              <v:fill on="f" focussize="0,0"/>
              <v:stroke on="f" joinstyle="miter"/>
              <v:imagedata r:id="rId8" embosscolor="#FFFFFF" o:title=""/>
              <o:lock v:ext="edit" aspectratio="t"/>
            </v:shape>
            <v:rect id="1029" o:spid="_x0000_s1032" o:spt="1" style="position:absolute;left:3345;top:5640;height:549;width:5070;" stroked="t" coordsize="21600,21600">
              <v:path/>
              <v:fill focussize="0,0"/>
              <v:stroke color="#FFFFFF"/>
              <v:imagedata o:title=""/>
              <o:lock v:ext="edit"/>
              <v:textbox>
                <w:txbxContent>
                  <w:p>
                    <w:pPr>
                      <w:rPr>
                        <w:rFonts w:ascii="黑体" w:hAnsi="黑体" w:eastAsia="黑体"/>
                        <w:b/>
                        <w:sz w:val="24"/>
                      </w:rPr>
                    </w:pPr>
                    <w:r>
                      <w:rPr>
                        <w:rFonts w:hint="eastAsia" w:ascii="黑体" w:hAnsi="黑体" w:eastAsia="黑体"/>
                        <w:b/>
                        <w:sz w:val="24"/>
                      </w:rPr>
                      <w:t>2020年湖北省普通专升本补录报名申请表</w:t>
                    </w:r>
                  </w:p>
                </w:txbxContent>
              </v:textbox>
            </v:rect>
          </v:group>
        </w:pic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报名平台下载的报名申请表（需本人下载打印后手写签字，如有基本信息填写错误，请在报名表上手写备注需更正的信息并签名）。</w:t>
      </w: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ind w:left="-426" w:firstLine="140" w:firstLineChars="44"/>
        <w:jc w:val="left"/>
        <w:rPr>
          <w:rFonts w:ascii="仿宋_GB2312" w:eastAsia="仿宋_GB2312" w:cs="Times New Roman"/>
          <w:color w:val="000000"/>
          <w:sz w:val="32"/>
          <w:szCs w:val="32"/>
        </w:rPr>
      </w:pPr>
    </w:p>
    <w:p>
      <w:pPr>
        <w:pStyle w:val="11"/>
        <w:widowControl/>
        <w:ind w:left="360" w:firstLine="0" w:firstLineChars="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高职高专毕业证明（毕业证书）扫描件。</w:t>
      </w:r>
    </w:p>
    <w:p>
      <w:pPr>
        <w:pStyle w:val="11"/>
        <w:ind w:left="-142" w:firstLine="140" w:firstLineChars="67"/>
        <w:jc w:val="left"/>
        <w:rPr>
          <w:rFonts w:ascii="仿宋_GB2312" w:eastAsia="仿宋_GB2312" w:cs="Times New Roman"/>
          <w:color w:val="000000"/>
          <w:sz w:val="32"/>
          <w:szCs w:val="32"/>
        </w:rPr>
      </w:pPr>
      <w:r>
        <w:drawing>
          <wp:anchor distT="0" distB="0" distL="0" distR="0" simplePos="0" relativeHeight="1024" behindDoc="0" locked="0" layoutInCell="1" allowOverlap="1">
            <wp:simplePos x="0" y="0"/>
            <wp:positionH relativeFrom="column">
              <wp:posOffset>-95250</wp:posOffset>
            </wp:positionH>
            <wp:positionV relativeFrom="paragraph">
              <wp:posOffset>185420</wp:posOffset>
            </wp:positionV>
            <wp:extent cx="5772150" cy="4162425"/>
            <wp:effectExtent l="0" t="0" r="0" b="9525"/>
            <wp:wrapNone/>
            <wp:docPr id="1030" name="图片 2"/>
            <wp:cNvGraphicFramePr/>
            <a:graphic xmlns:a="http://schemas.openxmlformats.org/drawingml/2006/main">
              <a:graphicData uri="http://schemas.openxmlformats.org/drawingml/2006/picture">
                <pic:pic xmlns:pic="http://schemas.openxmlformats.org/drawingml/2006/picture">
                  <pic:nvPicPr>
                    <pic:cNvPr id="1030" name="图片 2"/>
                    <pic:cNvPicPr/>
                  </pic:nvPicPr>
                  <pic:blipFill>
                    <a:blip r:embed="rId9" cstate="print"/>
                    <a:srcRect/>
                    <a:stretch>
                      <a:fillRect/>
                    </a:stretch>
                  </pic:blipFill>
                  <pic:spPr>
                    <a:xfrm>
                      <a:off x="0" y="0"/>
                      <a:ext cx="5772150" cy="4162425"/>
                    </a:xfrm>
                    <a:prstGeom prst="rect">
                      <a:avLst/>
                    </a:prstGeom>
                    <a:ln>
                      <a:noFill/>
                    </a:ln>
                  </pic:spPr>
                </pic:pic>
              </a:graphicData>
            </a:graphic>
          </wp:anchor>
        </w:drawing>
      </w: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cs="Times New Roman"/>
        </w:rPr>
      </w:pPr>
    </w:p>
    <w:p>
      <w:pPr>
        <w:pStyle w:val="11"/>
        <w:ind w:left="360" w:firstLine="0" w:firstLineChars="0"/>
        <w:jc w:val="left"/>
        <w:rPr>
          <w:rFonts w:ascii="仿宋_GB2312" w:eastAsia="仿宋_GB2312" w:cs="Times New Roman"/>
          <w:color w:val="000000"/>
          <w:sz w:val="32"/>
          <w:szCs w:val="32"/>
        </w:rPr>
      </w:pPr>
    </w:p>
    <w:p>
      <w:pPr>
        <w:widowControl/>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居民身份证正面照片。</w:t>
      </w:r>
    </w:p>
    <w:p>
      <w:pPr>
        <w:pStyle w:val="11"/>
        <w:ind w:left="360" w:firstLine="0" w:firstLineChars="0"/>
        <w:jc w:val="left"/>
        <w:rPr>
          <w:rFonts w:ascii="仿宋_GB2312" w:eastAsia="仿宋_GB2312" w:cs="Times New Roman"/>
          <w:color w:val="000000"/>
          <w:sz w:val="32"/>
          <w:szCs w:val="32"/>
        </w:rPr>
      </w:pPr>
      <w:r>
        <w:drawing>
          <wp:anchor distT="0" distB="0" distL="0" distR="0" simplePos="0" relativeHeight="1024" behindDoc="0" locked="0" layoutInCell="1" allowOverlap="1">
            <wp:simplePos x="0" y="0"/>
            <wp:positionH relativeFrom="column">
              <wp:posOffset>47625</wp:posOffset>
            </wp:positionH>
            <wp:positionV relativeFrom="paragraph">
              <wp:posOffset>114300</wp:posOffset>
            </wp:positionV>
            <wp:extent cx="5629275" cy="3076575"/>
            <wp:effectExtent l="0" t="0" r="9525" b="9525"/>
            <wp:wrapNone/>
            <wp:docPr id="1031" name="图片 3"/>
            <wp:cNvGraphicFramePr/>
            <a:graphic xmlns:a="http://schemas.openxmlformats.org/drawingml/2006/main">
              <a:graphicData uri="http://schemas.openxmlformats.org/drawingml/2006/picture">
                <pic:pic xmlns:pic="http://schemas.openxmlformats.org/drawingml/2006/picture">
                  <pic:nvPicPr>
                    <pic:cNvPr id="1031" name="图片 3"/>
                    <pic:cNvPicPr/>
                  </pic:nvPicPr>
                  <pic:blipFill>
                    <a:blip r:embed="rId10" cstate="print"/>
                    <a:srcRect/>
                    <a:stretch>
                      <a:fillRect/>
                    </a:stretch>
                  </pic:blipFill>
                  <pic:spPr>
                    <a:xfrm>
                      <a:off x="0" y="0"/>
                      <a:ext cx="5629275" cy="3076575"/>
                    </a:xfrm>
                    <a:prstGeom prst="rect">
                      <a:avLst/>
                    </a:prstGeom>
                    <a:ln>
                      <a:noFill/>
                    </a:ln>
                  </pic:spPr>
                </pic:pic>
              </a:graphicData>
            </a:graphic>
          </wp:anchor>
        </w:drawing>
      </w:r>
    </w:p>
    <w:p>
      <w:pPr>
        <w:pStyle w:val="11"/>
        <w:ind w:left="360" w:firstLine="0" w:firstLineChars="0"/>
        <w:jc w:val="center"/>
        <w:rPr>
          <w:rFonts w:ascii="仿宋_GB2312" w:eastAsia="仿宋_GB2312" w:cs="Times New Roman"/>
          <w:color w:val="000000"/>
          <w:sz w:val="32"/>
          <w:szCs w:val="32"/>
        </w:rPr>
      </w:pPr>
    </w:p>
    <w:p>
      <w:pPr>
        <w:pStyle w:val="11"/>
        <w:ind w:left="360" w:firstLine="0" w:firstLineChars="0"/>
        <w:jc w:val="center"/>
        <w:rPr>
          <w:rFonts w:ascii="仿宋_GB2312" w:eastAsia="仿宋_GB2312" w:cs="Times New Roman"/>
          <w:color w:val="000000"/>
          <w:sz w:val="32"/>
          <w:szCs w:val="32"/>
        </w:rPr>
      </w:pPr>
    </w:p>
    <w:p>
      <w:pPr>
        <w:pStyle w:val="11"/>
        <w:ind w:left="360" w:firstLine="0" w:firstLineChars="0"/>
        <w:jc w:val="center"/>
        <w:rPr>
          <w:rFonts w:ascii="仿宋_GB2312" w:eastAsia="仿宋_GB2312" w:cs="Times New Roman"/>
          <w:color w:val="000000"/>
          <w:sz w:val="32"/>
          <w:szCs w:val="32"/>
        </w:rPr>
      </w:pPr>
    </w:p>
    <w:p>
      <w:pPr>
        <w:pStyle w:val="11"/>
        <w:ind w:left="360" w:firstLine="0" w:firstLineChars="0"/>
        <w:jc w:val="center"/>
        <w:rPr>
          <w:rFonts w:ascii="仿宋_GB2312" w:eastAsia="仿宋_GB2312" w:cs="Times New Roman"/>
          <w:color w:val="000000"/>
          <w:sz w:val="32"/>
          <w:szCs w:val="32"/>
        </w:rPr>
      </w:pPr>
    </w:p>
    <w:p>
      <w:pPr>
        <w:pStyle w:val="11"/>
        <w:ind w:left="360" w:firstLine="0" w:firstLineChars="0"/>
        <w:jc w:val="center"/>
        <w:rPr>
          <w:rFonts w:ascii="仿宋_GB2312" w:eastAsia="仿宋_GB2312" w:cs="Times New Roman"/>
          <w:color w:val="000000"/>
          <w:sz w:val="32"/>
          <w:szCs w:val="32"/>
        </w:rPr>
      </w:pPr>
    </w:p>
    <w:p>
      <w:pPr>
        <w:pStyle w:val="11"/>
        <w:ind w:left="360" w:firstLine="0" w:firstLineChars="0"/>
        <w:jc w:val="center"/>
        <w:rPr>
          <w:rFonts w:ascii="仿宋_GB2312" w:eastAsia="仿宋_GB2312" w:cs="Times New Roman"/>
          <w:color w:val="000000"/>
          <w:sz w:val="32"/>
          <w:szCs w:val="32"/>
        </w:rPr>
      </w:pPr>
    </w:p>
    <w:p>
      <w:pPr>
        <w:pStyle w:val="11"/>
        <w:ind w:left="360" w:firstLine="0" w:firstLineChars="0"/>
        <w:jc w:val="left"/>
        <w:rPr>
          <w:rFonts w:ascii="仿宋_GB2312" w:eastAsia="仿宋_GB2312" w:cs="宋体"/>
          <w:b/>
          <w:color w:val="FF0000"/>
          <w:sz w:val="32"/>
          <w:szCs w:val="32"/>
        </w:rPr>
      </w:pPr>
    </w:p>
    <w:p>
      <w:pPr>
        <w:pStyle w:val="11"/>
        <w:ind w:left="360" w:firstLine="0" w:firstLineChars="0"/>
        <w:jc w:val="left"/>
        <w:rPr>
          <w:rFonts w:ascii="仿宋_GB2312" w:eastAsia="仿宋_GB2312" w:cs="宋体"/>
          <w:b/>
          <w:color w:val="FF0000"/>
          <w:sz w:val="32"/>
          <w:szCs w:val="32"/>
        </w:rPr>
      </w:pPr>
      <w:r>
        <w:rPr>
          <w:rFonts w:hint="eastAsia" w:ascii="仿宋_GB2312" w:eastAsia="仿宋_GB2312" w:cs="宋体"/>
          <w:b/>
          <w:color w:val="FF0000"/>
          <w:sz w:val="32"/>
          <w:szCs w:val="32"/>
        </w:rPr>
        <w:t xml:space="preserve">    所有资料图片请按示例所列顺序放在一个word文件中，以“报考专业名称+原毕业专业名称+姓名”命名，8月23日前发至指定邮箱：wsyjwc_2@163.com。</w:t>
      </w:r>
    </w:p>
    <w:p>
      <w:pPr>
        <w:widowControl/>
        <w:jc w:val="left"/>
      </w:pPr>
    </w:p>
    <w:p>
      <w:pPr>
        <w:widowControl/>
        <w:jc w:val="left"/>
      </w:pPr>
    </w:p>
    <w:sectPr>
      <w:pgSz w:w="11906" w:h="16838"/>
      <w:pgMar w:top="1440" w:right="1800"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cs="Times New Roman"/>
        <w:sz w:val="28"/>
        <w:szCs w:val="28"/>
      </w:rPr>
    </w:pPr>
    <w:r>
      <w:rPr>
        <w:sz w:val="28"/>
        <w:szCs w:val="28"/>
      </w:rPr>
      <w:t xml:space="preserve">— </w:t>
    </w:r>
    <w:r>
      <w:rPr>
        <w:sz w:val="28"/>
        <w:szCs w:val="28"/>
      </w:rPr>
      <w:fldChar w:fldCharType="begin"/>
    </w:r>
    <w:r>
      <w:rPr>
        <w:sz w:val="28"/>
        <w:szCs w:val="28"/>
      </w:rPr>
      <w:instrText xml:space="preserve"> PAGE \* Arabic \* MERGEFORMAT </w:instrText>
    </w:r>
    <w:r>
      <w:rPr>
        <w:sz w:val="28"/>
        <w:szCs w:val="28"/>
      </w:rPr>
      <w:fldChar w:fldCharType="separate"/>
    </w:r>
    <w:r>
      <w:rPr>
        <w:sz w:val="28"/>
        <w:szCs w:val="28"/>
      </w:rPr>
      <w:t>11</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cs="Times New Roman"/>
        <w:sz w:val="28"/>
        <w:szCs w:val="28"/>
      </w:rPr>
    </w:pPr>
    <w:r>
      <w:rPr>
        <w:sz w:val="28"/>
        <w:szCs w:val="28"/>
      </w:rPr>
      <w:t xml:space="preserve">— </w:t>
    </w:r>
    <w:r>
      <w:rPr>
        <w:sz w:val="28"/>
        <w:szCs w:val="28"/>
      </w:rPr>
      <w:fldChar w:fldCharType="begin"/>
    </w:r>
    <w:r>
      <w:rPr>
        <w:sz w:val="28"/>
        <w:szCs w:val="28"/>
      </w:rPr>
      <w:instrText xml:space="preserve"> PAGE \* Arabic \* MERGEFORMAT </w:instrText>
    </w:r>
    <w:r>
      <w:rPr>
        <w:sz w:val="28"/>
        <w:szCs w:val="28"/>
      </w:rPr>
      <w:fldChar w:fldCharType="separate"/>
    </w:r>
    <w:r>
      <w:rPr>
        <w:sz w:val="28"/>
        <w:szCs w:val="28"/>
      </w:rPr>
      <w:t>16</w:t>
    </w:r>
    <w:r>
      <w:rPr>
        <w:sz w:val="28"/>
        <w:szCs w:val="28"/>
      </w:rPr>
      <w:fldChar w:fldCharType="end"/>
    </w:r>
    <w:r>
      <w:rPr>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2951"/>
    <w:rsid w:val="000D07EB"/>
    <w:rsid w:val="004047DF"/>
    <w:rsid w:val="00752951"/>
    <w:rsid w:val="00C819B5"/>
    <w:rsid w:val="7C000055"/>
    <w:rsid w:val="7C552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99"/>
    <w:pPr>
      <w:ind w:firstLine="420" w:firstLineChars="200"/>
    </w:pPr>
    <w:rPr>
      <w:rFonts w:ascii="等线" w:hAnsi="等线" w:eastAsia="等线" w:cs="等线"/>
      <w:szCs w:val="21"/>
    </w:rPr>
  </w:style>
  <w:style w:type="character" w:customStyle="1" w:styleId="12">
    <w:name w:val="批注框文本 Char"/>
    <w:basedOn w:val="7"/>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600</Words>
  <Characters>3424</Characters>
  <Lines>28</Lines>
  <Paragraphs>8</Paragraphs>
  <TotalTime>0</TotalTime>
  <ScaleCrop>false</ScaleCrop>
  <LinksUpToDate>false</LinksUpToDate>
  <CharactersWithSpaces>4016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2020-08-15T00:05:00Z</dcterms:created>
  <dc:creator>PC</dc:creator>
  <cp:lastModifiedBy>行谦（谭学锋）</cp:lastModifiedBy>
  <cp:lastPrinted>2020-08-15T07:19:00Z</cp:lastPrinted>
  <dcterms:modified xsi:type="dcterms:W3CDTF">2020-08-16T09:09:22Z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