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15" w:lineRule="atLeast"/>
        <w:ind w:left="0" w:right="0" w:firstLine="0"/>
        <w:jc w:val="left"/>
        <w:rPr>
          <w:rFonts w:ascii="Tahoma" w:hAnsi="Tahoma" w:eastAsia="Tahoma" w:cs="Tahoma"/>
          <w:caps w:val="0"/>
          <w:color w:val="333333"/>
          <w:spacing w:val="0"/>
          <w:sz w:val="21"/>
          <w:szCs w:val="21"/>
        </w:rPr>
      </w:pPr>
      <w:r>
        <w:rPr>
          <w:rFonts w:ascii="黑体" w:hAnsi="宋体" w:eastAsia="黑体" w:cs="黑体"/>
          <w:caps w:val="0"/>
          <w:color w:val="333333"/>
          <w:spacing w:val="0"/>
          <w:kern w:val="0"/>
          <w:sz w:val="31"/>
          <w:szCs w:val="31"/>
          <w:bdr w:val="none" w:color="auto" w:sz="0" w:space="0"/>
          <w:lang w:val="en-US" w:eastAsia="zh-CN" w:bidi="ar"/>
        </w:rPr>
        <w:t>附件</w:t>
      </w:r>
      <w:r>
        <w:rPr>
          <w:rFonts w:hint="eastAsia" w:ascii="黑体" w:hAnsi="宋体" w:eastAsia="黑体" w:cs="黑体"/>
          <w:caps w:val="0"/>
          <w:color w:val="333333"/>
          <w:spacing w:val="0"/>
          <w:kern w:val="0"/>
          <w:sz w:val="31"/>
          <w:szCs w:val="31"/>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65" w:lineRule="atLeast"/>
        <w:ind w:left="0" w:right="0" w:firstLine="0"/>
        <w:jc w:val="center"/>
        <w:rPr>
          <w:rFonts w:hint="default" w:ascii="Tahoma" w:hAnsi="Tahoma" w:eastAsia="Tahoma" w:cs="Tahoma"/>
          <w:caps w:val="0"/>
          <w:color w:val="333333"/>
          <w:spacing w:val="0"/>
          <w:sz w:val="21"/>
          <w:szCs w:val="21"/>
        </w:rPr>
      </w:pPr>
      <w:r>
        <w:rPr>
          <w:rStyle w:val="4"/>
          <w:rFonts w:ascii="仿宋" w:hAnsi="仿宋" w:eastAsia="仿宋" w:cs="仿宋"/>
          <w:caps w:val="0"/>
          <w:color w:val="333333"/>
          <w:spacing w:val="0"/>
          <w:kern w:val="0"/>
          <w:sz w:val="31"/>
          <w:szCs w:val="3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65" w:lineRule="atLeast"/>
        <w:ind w:left="0" w:right="0" w:firstLine="0"/>
        <w:jc w:val="center"/>
        <w:rPr>
          <w:rFonts w:hint="default" w:ascii="Tahoma" w:hAnsi="Tahoma" w:eastAsia="Tahoma" w:cs="Tahoma"/>
          <w:caps w:val="0"/>
          <w:color w:val="333333"/>
          <w:spacing w:val="0"/>
          <w:sz w:val="21"/>
          <w:szCs w:val="21"/>
        </w:rPr>
      </w:pPr>
      <w:r>
        <w:rPr>
          <w:rStyle w:val="4"/>
          <w:rFonts w:hint="eastAsia" w:ascii="宋体" w:hAnsi="宋体" w:eastAsia="宋体" w:cs="宋体"/>
          <w:caps w:val="0"/>
          <w:color w:val="333333"/>
          <w:spacing w:val="0"/>
          <w:kern w:val="0"/>
          <w:sz w:val="36"/>
          <w:szCs w:val="36"/>
          <w:bdr w:val="none" w:color="auto" w:sz="0" w:space="0"/>
          <w:lang w:val="en-US" w:eastAsia="zh-CN" w:bidi="ar"/>
        </w:rPr>
        <w:t>武汉商学院2024年普通专升本招生专业对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65" w:lineRule="atLeast"/>
        <w:ind w:left="0" w:right="0" w:firstLine="0"/>
        <w:jc w:val="center"/>
        <w:rPr>
          <w:rFonts w:hint="default" w:ascii="Tahoma" w:hAnsi="Tahoma" w:eastAsia="Tahoma" w:cs="Tahoma"/>
          <w:caps w:val="0"/>
          <w:color w:val="333333"/>
          <w:spacing w:val="0"/>
          <w:sz w:val="21"/>
          <w:szCs w:val="21"/>
        </w:rPr>
      </w:pPr>
      <w:r>
        <w:rPr>
          <w:rStyle w:val="4"/>
          <w:rFonts w:hint="eastAsia" w:ascii="宋体" w:hAnsi="宋体" w:eastAsia="宋体" w:cs="宋体"/>
          <w:caps w:val="0"/>
          <w:color w:val="333333"/>
          <w:spacing w:val="0"/>
          <w:kern w:val="0"/>
          <w:sz w:val="36"/>
          <w:szCs w:val="36"/>
          <w:bdr w:val="none" w:color="auto" w:sz="0" w:space="0"/>
          <w:lang w:val="en-US" w:eastAsia="zh-CN" w:bidi="ar"/>
        </w:rPr>
        <w:t>高职（专科）专业的报考范围要求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65" w:lineRule="atLeast"/>
        <w:ind w:left="0" w:right="0" w:firstLine="0"/>
        <w:jc w:val="center"/>
        <w:rPr>
          <w:rFonts w:hint="default" w:ascii="Tahoma" w:hAnsi="Tahoma" w:eastAsia="Tahoma" w:cs="Tahoma"/>
          <w:caps w:val="0"/>
          <w:color w:val="333333"/>
          <w:spacing w:val="0"/>
          <w:sz w:val="21"/>
          <w:szCs w:val="21"/>
        </w:rPr>
      </w:pPr>
      <w:r>
        <w:rPr>
          <w:rStyle w:val="4"/>
          <w:rFonts w:hint="default" w:ascii="Tahoma" w:hAnsi="Tahoma" w:eastAsia="Tahoma" w:cs="Tahoma"/>
          <w:caps w:val="0"/>
          <w:color w:val="333333"/>
          <w:spacing w:val="0"/>
          <w:kern w:val="0"/>
          <w:sz w:val="36"/>
          <w:szCs w:val="36"/>
          <w:bdr w:val="none" w:color="auto" w:sz="0" w:space="0"/>
          <w:lang w:val="en-US" w:eastAsia="zh-CN" w:bidi="ar"/>
        </w:rPr>
        <w:t> </w:t>
      </w:r>
    </w:p>
    <w:tbl>
      <w:tblPr>
        <w:tblW w:w="129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13"/>
        <w:gridCol w:w="104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5" w:hRule="atLeast"/>
          <w:jc w:val="center"/>
        </w:trPr>
        <w:tc>
          <w:tcPr>
            <w:tcW w:w="935"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center"/>
              <w:rPr>
                <w:rFonts w:hint="default" w:ascii="Tahoma" w:hAnsi="Tahoma" w:eastAsia="Tahoma" w:cs="Tahoma"/>
                <w:color w:val="333333"/>
                <w:sz w:val="21"/>
                <w:szCs w:val="21"/>
              </w:rPr>
            </w:pPr>
            <w:r>
              <w:rPr>
                <w:rStyle w:val="4"/>
                <w:rFonts w:ascii="仿宋_gb2312" w:hAnsi="仿宋_gb2312" w:eastAsia="仿宋_gb2312" w:cs="仿宋_gb2312"/>
                <w:color w:val="333333"/>
                <w:kern w:val="0"/>
                <w:sz w:val="24"/>
                <w:szCs w:val="24"/>
                <w:bdr w:val="none" w:color="auto" w:sz="0" w:space="0"/>
                <w:lang w:val="en-US" w:eastAsia="zh-CN" w:bidi="ar"/>
              </w:rPr>
              <w:t>招生本科专业</w:t>
            </w:r>
          </w:p>
        </w:tc>
        <w:tc>
          <w:tcPr>
            <w:tcW w:w="4063"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center"/>
              <w:rPr>
                <w:rFonts w:hint="default" w:ascii="Tahoma" w:hAnsi="Tahoma" w:eastAsia="Tahoma" w:cs="Tahoma"/>
                <w:color w:val="333333"/>
                <w:sz w:val="21"/>
                <w:szCs w:val="21"/>
              </w:rPr>
            </w:pPr>
            <w:r>
              <w:rPr>
                <w:rStyle w:val="4"/>
                <w:rFonts w:hint="default" w:ascii="仿宋_gb2312" w:hAnsi="仿宋_gb2312" w:eastAsia="仿宋_gb2312" w:cs="仿宋_gb2312"/>
                <w:color w:val="333333"/>
                <w:kern w:val="0"/>
                <w:sz w:val="24"/>
                <w:szCs w:val="24"/>
                <w:bdr w:val="none" w:color="auto" w:sz="0" w:space="0"/>
                <w:lang w:val="en-US" w:eastAsia="zh-CN" w:bidi="ar"/>
              </w:rPr>
              <w:t>对应招收高职高专专业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935"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休闲体育</w:t>
            </w:r>
          </w:p>
        </w:tc>
        <w:tc>
          <w:tcPr>
            <w:tcW w:w="4063"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left"/>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社会体育、运动训练、休闲体育、民族传统体育、体育运营与管理、健身指导与管理、电子竞技运动与管理、冰雪设施运维与管理等体育类相关专业及教育类的体育教育专业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935"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建筑环境与能源应用工程</w:t>
            </w:r>
          </w:p>
        </w:tc>
        <w:tc>
          <w:tcPr>
            <w:tcW w:w="4063"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left"/>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制冷与空调技术、供热通风与空调工程技术、现代物业管理、建筑设备工程技术、建筑工程技术、冷链物流技术与管理、发电厂及电力系统、工程造价、建设工程管理、工业节能技术、建筑电气工程技术、城市燃气工程技术、管道工程技术、智能建造技术、汽车制造与试验技术（备注：仅限于以上专业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935"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食品质量与安全</w:t>
            </w:r>
          </w:p>
        </w:tc>
        <w:tc>
          <w:tcPr>
            <w:tcW w:w="4063"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left"/>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食品智能加工技术、食品质量与安全、食品营养与健康、食品检验检测技术、酿酒技术、食品贮运与营销、食品药品监督管理、保健食品质量与管理、粮食工程技术与管理、粮食储运与质量安全、餐饮智能管理、烹饪工艺与营养、中西面点工艺、西式烹饪工艺、营养配餐、食用菌生产与加工技术、农产品加工与质量检测、绿色食品生产技术、农产品流通与管理、食品生物技术、绿色生物制造技术、生物信息技术（备注：仅限于以上专业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935"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烹饪与营养教育</w:t>
            </w:r>
          </w:p>
        </w:tc>
        <w:tc>
          <w:tcPr>
            <w:tcW w:w="4063"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left"/>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烹饪工艺与营养、中西面点工艺、西式烹饪工艺、营养配餐、餐饮智能管理、食品智能加工技术、食品检验检测技术、食品营养与健康、保健食品质量与管理、健康管理、医学营养、中医养生保健、药膳与食疗、绿色食品生产技术、食用菌生产与加工技术（备注：仅限于以上专业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935"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人力资源管理</w:t>
            </w:r>
          </w:p>
        </w:tc>
        <w:tc>
          <w:tcPr>
            <w:tcW w:w="4063"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left"/>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人力资源管理、劳动与社会保障、商务管理、行政管理、连锁经营与管理、公共事务管理、公共关系、市场营销、现代物业管理、全媒体广告策划与营销、大数据与会计、心理咨询、工商企业管理、中小企业创业与经营、职业指导与服务、现代文秘、大数据技术、统计与大数据分析（备注：仅限于以上专业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50" w:hRule="atLeast"/>
          <w:jc w:val="center"/>
        </w:trPr>
        <w:tc>
          <w:tcPr>
            <w:tcW w:w="935"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零售业管理</w:t>
            </w:r>
          </w:p>
        </w:tc>
        <w:tc>
          <w:tcPr>
            <w:tcW w:w="4063"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left"/>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市场营销、连锁经营与管理、商务管理、工商企业管理、中小企业创业与经营、全媒体广告策划与营销、国际经济与贸易、国际商务、网络营销与直播电商、移动商务、电子商务、跨境电子商务、供应链运营（备注：仅限于以上专业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935"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酒店管理</w:t>
            </w:r>
          </w:p>
        </w:tc>
        <w:tc>
          <w:tcPr>
            <w:tcW w:w="4063"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left"/>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酒店管理与数字化运营、民宿管理与运营、旅游管理、导游、旅行社经营与管理、定制旅行管理与服务、研学旅行管理与服务、葡萄酒文化与营销、茶艺与茶文化、智慧景区开发与管理、智慧旅游技术应用、会展策划与管理、休闲服务与管理、餐饮智能管理、烹饪工艺与营养、中西面点工艺、西式烹饪工艺、营养配餐、文化创意与策划、文化产业经营与管理、公共文化服务与管理、旅游英语、旅游日语、人力资源管理、公共事务管理、工商企业管理、连锁经营与管理、商务管理、市场营销、空中乘务、机场运行服务与管理、国际邮轮乘务管理、食品营养与健康、森林生态旅游与康养、国际经济与贸易（备注：仅限于以上专业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935"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会展经济与管理</w:t>
            </w:r>
          </w:p>
        </w:tc>
        <w:tc>
          <w:tcPr>
            <w:tcW w:w="4063"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left"/>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会展策划与管理、旅游管理、酒店管理与数字化运营、休闲服务与管理、商务管理、市场营销、电子商务、跨境电子商务、移动商务、网络营销与直播电商、农村电子商务、商务数据分析与应用、国际经济与贸易、国际商务、展示艺术设计、文化创意与策划、文化产业经营与管理、公共文化服务与管理、传播与策划、全媒体广告策划与营销、婚庆服务与管理（备注：仅限于以上专业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0" w:hRule="atLeast"/>
          <w:jc w:val="center"/>
        </w:trPr>
        <w:tc>
          <w:tcPr>
            <w:tcW w:w="935"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旅游管理与服务教育</w:t>
            </w:r>
          </w:p>
        </w:tc>
        <w:tc>
          <w:tcPr>
            <w:tcW w:w="4063"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left"/>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旅游管理、导游、旅行社经营与管理、定制旅行管理与服务、研学旅行管理与服务、酒店管理与数字化运营、民宿管理与运营、葡萄酒文化与营销、茶艺与茶文化、智慧景区开发与管理、智慧旅游技术应用、会展策划与管理、休闲服务与管理、旅游英语、旅游日语、学前教育、小学教育、小学科学教育、森林生态旅游与康养、国际邮轮乘务管理、空中乘务（备注：仅限于以上专业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935"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center"/>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数字媒体艺术</w:t>
            </w:r>
          </w:p>
        </w:tc>
        <w:tc>
          <w:tcPr>
            <w:tcW w:w="4063"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435" w:lineRule="atLeast"/>
              <w:ind w:left="0" w:right="0"/>
              <w:jc w:val="left"/>
              <w:textAlignment w:val="center"/>
              <w:rPr>
                <w:rFonts w:hint="default" w:ascii="Tahoma" w:hAnsi="Tahoma" w:eastAsia="Tahoma" w:cs="Tahoma"/>
                <w:color w:val="333333"/>
                <w:sz w:val="21"/>
                <w:szCs w:val="21"/>
              </w:rPr>
            </w:pPr>
            <w:r>
              <w:rPr>
                <w:rFonts w:hint="default" w:ascii="仿宋_gb2312" w:hAnsi="仿宋_gb2312" w:eastAsia="仿宋_gb2312" w:cs="仿宋_gb2312"/>
                <w:color w:val="333333"/>
                <w:kern w:val="0"/>
                <w:sz w:val="24"/>
                <w:szCs w:val="24"/>
                <w:bdr w:val="none" w:color="auto" w:sz="0" w:space="0"/>
                <w:lang w:val="en-US" w:eastAsia="zh-CN" w:bidi="ar"/>
              </w:rPr>
              <w:t>数字媒体艺术设计、艺术设计、动漫设计、影视动画、影视多媒体技术、数字媒体技术、游戏艺术设计、摄影与摄像艺术、视觉传达设计、广告艺术设计、产品艺术设计、室内艺术设计、展示艺术设计、环境艺术设计、公共艺术设计、包装艺术设计、工艺美术品设计、家具艺术设计、人物形象设计、书画艺术（备注：仅限于以上专业报考）</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firstLine="0"/>
        <w:jc w:val="left"/>
        <w:rPr>
          <w:rFonts w:hint="default" w:ascii="Tahoma" w:hAnsi="Tahoma" w:eastAsia="Tahoma" w:cs="Tahoma"/>
          <w:caps w:val="0"/>
          <w:color w:val="333333"/>
          <w:spacing w:val="0"/>
          <w:sz w:val="21"/>
          <w:szCs w:val="21"/>
        </w:rPr>
      </w:pPr>
      <w:r>
        <w:rPr>
          <w:rStyle w:val="4"/>
          <w:rFonts w:hint="default" w:ascii="仿宋_gb2312" w:hAnsi="仿宋_gb2312" w:eastAsia="仿宋_gb2312" w:cs="仿宋_gb2312"/>
          <w:caps w:val="0"/>
          <w:color w:val="333333"/>
          <w:spacing w:val="0"/>
          <w:kern w:val="0"/>
          <w:sz w:val="24"/>
          <w:szCs w:val="24"/>
          <w:bdr w:val="none" w:color="auto" w:sz="0" w:space="0"/>
          <w:lang w:val="en-US" w:eastAsia="zh-CN" w:bidi="ar"/>
        </w:rPr>
        <w:t>根据《教育部关于印发&lt;职业教育专业目录（2021年）&gt;的通知》 (教职成〔2021〕2号)内容规定，部分高职高专专业名称于2021年进行动态更新，专科应届毕业生专业以《职业教育专业目录（2021年）》为准。参照《职业教育专业目录（2021年）》中《普通高等学校高等职业教育（专科）专业目录新旧专业对照表》，已毕业退役大学生士兵所学专科专业名称如与规定可报考专业对应的旧专业名称一致，则可以报考。</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OWQzOTc3ZGU4MDAwZmIzNmZiMmE2YzAzM2I5OTMifQ=="/>
  </w:docVars>
  <w:rsids>
    <w:rsidRoot w:val="2B8927DA"/>
    <w:rsid w:val="2B892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2024-03-17T02:09:00Z</dcterms:created>
  <dc:creator> 阿妮娜</dc:creator>
  <cp:lastModifiedBy> 阿妮娜</cp:lastModifiedBy>
  <dcterms:modified xsi:type="dcterms:W3CDTF">2024-03-17T02:09:35Z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70B6DDF9E54E44F5BBB6ECB74EE9791A_11</vt:lpwstr>
  </property>
</Properties>
</file>